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D35A1B" w14:textId="64594E15" w:rsidR="00A34D9E" w:rsidRPr="003549AA" w:rsidRDefault="00494354" w:rsidP="00C444C7">
      <w:pPr>
        <w:jc w:val="center"/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PROGRAM FUNKCJONALNO – UŻYTKOWY</w:t>
      </w:r>
      <w:r w:rsidR="000C6668">
        <w:rPr>
          <w:rFonts w:ascii="Arial" w:hAnsi="Arial" w:cs="Arial"/>
          <w:b/>
          <w:bCs/>
          <w:color w:val="000000" w:themeColor="text1"/>
        </w:rPr>
        <w:t xml:space="preserve"> </w:t>
      </w:r>
      <w:r w:rsidR="000C6668" w:rsidRPr="000C6668">
        <w:rPr>
          <w:rFonts w:ascii="Arial" w:hAnsi="Arial" w:cs="Arial"/>
          <w:b/>
          <w:bCs/>
          <w:color w:val="A02B93" w:themeColor="accent5"/>
        </w:rPr>
        <w:t>– zmiany 21.08.2026 r.</w:t>
      </w:r>
    </w:p>
    <w:p w14:paraId="7A34A6A1" w14:textId="2F9AC9BE" w:rsidR="00494354" w:rsidRPr="003549AA" w:rsidRDefault="00494354" w:rsidP="00C444C7">
      <w:pPr>
        <w:jc w:val="both"/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br/>
        <w:t xml:space="preserve">Zakup, dostawa, montaż i uruchomienie agregatu prądotwórczego zapewniającego awaryjne zasilanie Siedziby Samodzielnego Publicznego Zakładu Opieki Zdrowotnej Rejonowego Pogotowia Ratunkowego w Sosnowcu oraz Stacji Pogotowia Ratunkowego w Sosnowcu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– w formule „zaprojektuj i wybuduj”</w:t>
      </w:r>
    </w:p>
    <w:p w14:paraId="50E9731C" w14:textId="77777777" w:rsidR="00494354" w:rsidRPr="003549AA" w:rsidRDefault="00494354">
      <w:pPr>
        <w:rPr>
          <w:rFonts w:ascii="Arial" w:hAnsi="Arial" w:cs="Arial"/>
          <w:color w:val="000000" w:themeColor="text1"/>
        </w:rPr>
      </w:pPr>
    </w:p>
    <w:p w14:paraId="26F1E67E" w14:textId="77777777" w:rsidR="00494354" w:rsidRPr="003549AA" w:rsidRDefault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Zamawiający:</w:t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b/>
          <w:bCs/>
          <w:color w:val="000000" w:themeColor="text1"/>
        </w:rPr>
        <w:t>Samodzielny Publiczny Zakład Opieki Zdrowotnej</w:t>
      </w:r>
      <w:r w:rsidRPr="003549AA">
        <w:rPr>
          <w:rFonts w:ascii="Arial" w:hAnsi="Arial" w:cs="Arial"/>
          <w:b/>
          <w:bCs/>
          <w:color w:val="000000" w:themeColor="text1"/>
        </w:rPr>
        <w:br/>
      </w:r>
      <w:r w:rsidRPr="003549AA">
        <w:rPr>
          <w:rFonts w:ascii="Arial" w:hAnsi="Arial" w:cs="Arial"/>
          <w:b/>
          <w:bCs/>
          <w:color w:val="000000" w:themeColor="text1"/>
        </w:rPr>
        <w:tab/>
      </w:r>
      <w:r w:rsidRPr="003549AA">
        <w:rPr>
          <w:rFonts w:ascii="Arial" w:hAnsi="Arial" w:cs="Arial"/>
          <w:b/>
          <w:bCs/>
          <w:color w:val="000000" w:themeColor="text1"/>
        </w:rPr>
        <w:tab/>
      </w:r>
      <w:r w:rsidRPr="003549AA">
        <w:rPr>
          <w:rFonts w:ascii="Arial" w:hAnsi="Arial" w:cs="Arial"/>
          <w:b/>
          <w:bCs/>
          <w:color w:val="000000" w:themeColor="text1"/>
        </w:rPr>
        <w:tab/>
        <w:t>Rejonowe Pogotowie Ratunkowe w Sosnowcu</w:t>
      </w:r>
      <w:r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  <w:t>ul. Kombajnistów 76</w:t>
      </w:r>
      <w:r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  <w:t>41-200 Sosnowiec</w:t>
      </w:r>
    </w:p>
    <w:p w14:paraId="29244A24" w14:textId="77777777" w:rsidR="00494354" w:rsidRPr="003549AA" w:rsidRDefault="00494354">
      <w:pPr>
        <w:rPr>
          <w:rFonts w:ascii="Arial" w:hAnsi="Arial" w:cs="Arial"/>
          <w:color w:val="000000" w:themeColor="text1"/>
        </w:rPr>
      </w:pPr>
    </w:p>
    <w:p w14:paraId="703CFCCD" w14:textId="5A132891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br/>
        <w:t>Adres inwestycji: ul. Kombajnistów 76, 41-200 Sosnowiec, działka nr 3610/46, obręb 10.</w:t>
      </w:r>
    </w:p>
    <w:p w14:paraId="6EBB2760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</w:p>
    <w:p w14:paraId="1CE28517" w14:textId="77777777" w:rsidR="00494354" w:rsidRPr="003549AA" w:rsidRDefault="00494354" w:rsidP="00494354">
      <w:p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Klasyfikacja robót wg wspólnego słownika zamówień (CPV)</w:t>
      </w:r>
    </w:p>
    <w:p w14:paraId="39187688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71323100-9 – usługi projektowania systemów zasilania energią elektryczną</w:t>
      </w:r>
    </w:p>
    <w:p w14:paraId="7A881B91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45315300-1 – instalacje zasilania elektrycznego</w:t>
      </w:r>
    </w:p>
    <w:p w14:paraId="5296738C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45317300-5 – elektryczne urządzenia rozdzielcze</w:t>
      </w:r>
    </w:p>
    <w:p w14:paraId="70DBB506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45311000-0 – roboty w zakresie okablowania oraz instalacji elektrycznych</w:t>
      </w:r>
    </w:p>
    <w:p w14:paraId="37BC87FD" w14:textId="1C685568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31122000-7 – jednostki prądotwórcze</w:t>
      </w:r>
    </w:p>
    <w:p w14:paraId="56B9C276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31127000-2 – prądnice awaryjne</w:t>
      </w:r>
    </w:p>
    <w:p w14:paraId="2F6602A2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45111200-0 – roboty w zakresie przygotowania terenu pod budowę i roboty ziemne</w:t>
      </w:r>
    </w:p>
    <w:p w14:paraId="777FCB8D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45223200-8 – roboty konstrukcyjne</w:t>
      </w:r>
    </w:p>
    <w:p w14:paraId="7CB0E418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</w:p>
    <w:p w14:paraId="292B60EF" w14:textId="77777777" w:rsidR="00494354" w:rsidRPr="003549AA" w:rsidRDefault="00494354" w:rsidP="00494354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Opis przedmiotu zamówienia</w:t>
      </w:r>
    </w:p>
    <w:p w14:paraId="0032802D" w14:textId="77777777" w:rsidR="00494354" w:rsidRPr="003549AA" w:rsidRDefault="00494354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Przedmiotem zamówienia jest kompleksowa realizacja zadania inwestycyjnego obejmująca opracowanie pełnej dokumentacji projektowej (w tym uzyskanie wszelkich wymaganych pozwoleń i uzgodnień), dostawę, montaż oraz uruchomienie fabrycznie nowego agregatu prądotwórczego w wyciszonej obudowie atmosferycznej wraz z systemem Samoczynnego Załączania Rezerwy (SZR). System zapewni pełne zasilanie awaryjne dla Siedziby Samodzielnego Publicznego Zakładu Opieki Zdrowotnej Rejonowego Pogotowia Ratunkowego w Sosnowcu oraz powiązanej Stacji Pogotowia Ratunkowego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przy ul. Kombajnistów 76.</w:t>
      </w:r>
    </w:p>
    <w:p w14:paraId="2C6BFF89" w14:textId="77777777" w:rsidR="00494354" w:rsidRPr="003549AA" w:rsidRDefault="00494354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Na budynku siedziby Pogotowia zamontowana jest instalacja fotowoltaiczna o mocy 39 </w:t>
      </w:r>
      <w:proofErr w:type="spellStart"/>
      <w:r w:rsidRPr="003549AA">
        <w:rPr>
          <w:rFonts w:ascii="Arial" w:hAnsi="Arial" w:cs="Arial"/>
          <w:color w:val="000000" w:themeColor="text1"/>
        </w:rPr>
        <w:t>kW.</w:t>
      </w:r>
      <w:proofErr w:type="spellEnd"/>
      <w:r w:rsidRPr="003549AA">
        <w:rPr>
          <w:rFonts w:ascii="Arial" w:hAnsi="Arial" w:cs="Arial"/>
          <w:color w:val="000000" w:themeColor="text1"/>
        </w:rPr>
        <w:t xml:space="preserve"> Oferowany system awaryjnego zasilania musi zostać zaprojektowany i połączony z siecią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w taki sposób, aby zapewnić pełne, bezkolizyjne i bezpieczne współdziałanie generatora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z istniejącą </w:t>
      </w:r>
      <w:proofErr w:type="spellStart"/>
      <w:r w:rsidRPr="003549AA">
        <w:rPr>
          <w:rFonts w:ascii="Arial" w:hAnsi="Arial" w:cs="Arial"/>
          <w:color w:val="000000" w:themeColor="text1"/>
        </w:rPr>
        <w:t>mikroinstalacją</w:t>
      </w:r>
      <w:proofErr w:type="spellEnd"/>
      <w:r w:rsidRPr="003549AA">
        <w:rPr>
          <w:rFonts w:ascii="Arial" w:hAnsi="Arial" w:cs="Arial"/>
          <w:color w:val="000000" w:themeColor="text1"/>
        </w:rPr>
        <w:t xml:space="preserve"> fotowoltaiczną.</w:t>
      </w:r>
    </w:p>
    <w:p w14:paraId="463705A9" w14:textId="77777777" w:rsidR="00C444C7" w:rsidRPr="003549AA" w:rsidRDefault="00C444C7" w:rsidP="00C444C7">
      <w:pPr>
        <w:jc w:val="both"/>
        <w:rPr>
          <w:rFonts w:ascii="Arial" w:hAnsi="Arial" w:cs="Arial"/>
          <w:color w:val="000000" w:themeColor="text1"/>
        </w:rPr>
      </w:pPr>
    </w:p>
    <w:p w14:paraId="1BD40900" w14:textId="77777777" w:rsidR="00494354" w:rsidRPr="003549AA" w:rsidRDefault="00494354" w:rsidP="00494354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lastRenderedPageBreak/>
        <w:t xml:space="preserve">Opis stanu istniejącego i lokalizacji inwestycji </w:t>
      </w:r>
    </w:p>
    <w:p w14:paraId="306A007F" w14:textId="77777777" w:rsidR="00494354" w:rsidRPr="003549AA" w:rsidRDefault="0090325B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Teren planowanej lokalizacji posadowienia agregatu to obszar zieleni w bliskiej odległości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od wjazdu na teren zakładu oraz altany (oznaczony kolorem czerwonym na planie sytuacyjnym). Teren inwestycji jest płaski, w pozostałej części utwardzony kostką brukową. Teren wyposażony jest w kompletną infrastrukturę techniczną: sieć wodociągowa, kanalizację sanitarną i deszczową, parking, linie elektryczne, chodniki oraz urządzoną zieleń.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Dojazd i dojście do terenu inwestycji odbywa się bezpośrednio od ulicy Kombajnistów.</w:t>
      </w:r>
    </w:p>
    <w:p w14:paraId="6DA1C427" w14:textId="77777777" w:rsidR="0090325B" w:rsidRPr="003549AA" w:rsidRDefault="0090325B" w:rsidP="0090325B">
      <w:pPr>
        <w:jc w:val="center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drawing>
          <wp:inline distT="0" distB="0" distL="0" distR="0" wp14:anchorId="42556A30" wp14:editId="6D6C788A">
            <wp:extent cx="5760720" cy="4100195"/>
            <wp:effectExtent l="0" t="0" r="0" b="0"/>
            <wp:docPr id="12142329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0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EF8F6" w14:textId="77777777" w:rsidR="0090325B" w:rsidRDefault="0090325B" w:rsidP="0090325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Wymagania dotyczące realizacji i sprzętu</w:t>
      </w:r>
    </w:p>
    <w:p w14:paraId="7AAC6AE4" w14:textId="77777777" w:rsidR="003549AA" w:rsidRPr="003549AA" w:rsidRDefault="003549AA" w:rsidP="003549AA">
      <w:pPr>
        <w:pStyle w:val="Akapitzlist"/>
        <w:rPr>
          <w:rFonts w:ascii="Arial" w:hAnsi="Arial" w:cs="Arial"/>
          <w:b/>
          <w:bCs/>
          <w:color w:val="000000" w:themeColor="text1"/>
        </w:rPr>
      </w:pPr>
    </w:p>
    <w:p w14:paraId="77D1EBAD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Stan techniczny</w:t>
      </w:r>
    </w:p>
    <w:p w14:paraId="4B4B44DB" w14:textId="77777777" w:rsidR="0090325B" w:rsidRPr="003549AA" w:rsidRDefault="0090325B" w:rsidP="00C444C7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Dostarczone urządzenia muszą być fabrycznie nowe, nieużywane, wyprodukowane nie wcześniej niż 12 miesięcy przed dostawą,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wolne od wad i obciążeń osób trzecich oraz pochodzące z oficjalnego kanału dystrybucyjnego producenta na terenie Unii Europejskiej.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Niedozwolone są urządzenia prototypowe, z wyprzedaży lub wycofywane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ze wsparcia (end-of-life / end-of-</w:t>
      </w:r>
      <w:proofErr w:type="spellStart"/>
      <w:r w:rsidRPr="003549AA">
        <w:rPr>
          <w:rFonts w:ascii="Arial" w:hAnsi="Arial" w:cs="Arial"/>
          <w:color w:val="000000" w:themeColor="text1"/>
        </w:rPr>
        <w:t>support</w:t>
      </w:r>
      <w:proofErr w:type="spellEnd"/>
      <w:r w:rsidRPr="003549AA">
        <w:rPr>
          <w:rFonts w:ascii="Arial" w:hAnsi="Arial" w:cs="Arial"/>
          <w:color w:val="000000" w:themeColor="text1"/>
        </w:rPr>
        <w:t>).</w:t>
      </w:r>
    </w:p>
    <w:p w14:paraId="219D6CE3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Odpowiedzialność Wykonawcy</w:t>
      </w:r>
    </w:p>
    <w:p w14:paraId="2F670673" w14:textId="77777777" w:rsidR="0090325B" w:rsidRPr="003549AA" w:rsidRDefault="0090325B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w pełni odpowiada za poprawność połączeń fizycznych i logicznych, konfigurację i uruchomienie systemu. Przed przystąpieniem do prac zobowiązany jest zweryfikować rozwiązania techniczne i opracować projekt wykonawczy, który musi zostać zaakceptowany przez Inspektora Nadzoru i Zamawiającego.</w:t>
      </w:r>
    </w:p>
    <w:p w14:paraId="1E6F3648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Ciągłość pracy obiektu</w:t>
      </w:r>
    </w:p>
    <w:p w14:paraId="6757B237" w14:textId="603A56E3" w:rsidR="003549AA" w:rsidRPr="003549AA" w:rsidRDefault="0090325B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Prace będą realizowane przy w pełni funkcjonującym obiekcie pogotowia ratunkowego. Przerwy w dostawie energii muszą być minimalizowane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lastRenderedPageBreak/>
        <w:t>i każdorazowo uzgadniane z wyprzedzeniem. Prace nie mogą zakłócać bieżącego funkcjonowania części administracyjnej i operacyjnej pogotowia.</w:t>
      </w:r>
    </w:p>
    <w:p w14:paraId="3C08A964" w14:textId="77777777" w:rsidR="00825B35" w:rsidRPr="003549AA" w:rsidRDefault="00E55B59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przedstawi do zatwierdzenia plan ciągłości zasilania i plan przełączeń, obejmujący harmonogram </w:t>
      </w:r>
      <w:proofErr w:type="spellStart"/>
      <w:r w:rsidRPr="003549AA">
        <w:rPr>
          <w:rFonts w:ascii="Arial" w:hAnsi="Arial" w:cs="Arial"/>
          <w:color w:val="000000" w:themeColor="text1"/>
        </w:rPr>
        <w:t>wyłączeń</w:t>
      </w:r>
      <w:proofErr w:type="spellEnd"/>
      <w:r w:rsidRPr="003549AA">
        <w:rPr>
          <w:rFonts w:ascii="Arial" w:hAnsi="Arial" w:cs="Arial"/>
          <w:color w:val="000000" w:themeColor="text1"/>
        </w:rPr>
        <w:t>, zabezpieczenie odbiorów krytycznych, osoby odpowiedzialne, procedurę awaryjną i możliwość natychmiastowego przywrócenia zasilania. Każde planowane wyłączenie wymaga co najmniej 5 dni roboczych uprzedniego uzgodnienia, chyba że Zamawiający dopuści krótszy termin.</w:t>
      </w:r>
    </w:p>
    <w:p w14:paraId="33573998" w14:textId="3BD151D1" w:rsidR="00825B35" w:rsidRDefault="00E55B59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ponosi odpowiedzialność za szkody wynikające z nieuzgodnionej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lub nieprawidłowej przerwy w zasilaniu. Jeżeli planowane prace wymagają odłączenia istniejącego źródła rezerwowego, Wykonawca zapewni na własny koszt tymczasowe źródło zasilania o parametrach zaakceptowanych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przez Zamawiającego.</w:t>
      </w:r>
    </w:p>
    <w:p w14:paraId="75450553" w14:textId="77777777" w:rsidR="003549AA" w:rsidRPr="003549AA" w:rsidRDefault="003549AA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</w:p>
    <w:p w14:paraId="34495503" w14:textId="77777777" w:rsidR="0090325B" w:rsidRDefault="0090325B" w:rsidP="0090325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Szczegółowe wymagania techniczne agregatu prądotwórczego</w:t>
      </w:r>
    </w:p>
    <w:p w14:paraId="2D451CE1" w14:textId="77777777" w:rsidR="003549AA" w:rsidRPr="003549AA" w:rsidRDefault="003549AA" w:rsidP="003549AA">
      <w:pPr>
        <w:pStyle w:val="Akapitzlist"/>
        <w:rPr>
          <w:rFonts w:ascii="Arial" w:hAnsi="Arial" w:cs="Arial"/>
          <w:b/>
          <w:bCs/>
          <w:color w:val="000000" w:themeColor="text1"/>
        </w:rPr>
      </w:pPr>
    </w:p>
    <w:p w14:paraId="7C4F10EE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Parametry podstawowe i eksploatacyjne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C56F2" w:rsidRPr="003549AA" w14:paraId="266AB2A7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00496730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Rodzaj pracy</w:t>
            </w:r>
          </w:p>
        </w:tc>
        <w:tc>
          <w:tcPr>
            <w:tcW w:w="4531" w:type="dxa"/>
            <w:vAlign w:val="center"/>
          </w:tcPr>
          <w:p w14:paraId="1B083F22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Praca rezerwowa (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standby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>)</w:t>
            </w:r>
          </w:p>
        </w:tc>
      </w:tr>
      <w:tr w:rsidR="00AC56F2" w:rsidRPr="003549AA" w14:paraId="598B6486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6654747A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Moc znamionowa (PRP)</w:t>
            </w:r>
          </w:p>
        </w:tc>
        <w:tc>
          <w:tcPr>
            <w:tcW w:w="4531" w:type="dxa"/>
            <w:vAlign w:val="center"/>
          </w:tcPr>
          <w:p w14:paraId="5497AB17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Minimum 135 kVA / 108 kW w ratingu PRP według PN-ISO 8528-1, przy cos φ = 0,8; Wykonawca poda również moc ESP. Dobór potwierdzi projekt na podstawie bilansu mocy i prądów rozruchowych.</w:t>
            </w:r>
          </w:p>
        </w:tc>
      </w:tr>
      <w:tr w:rsidR="00AC56F2" w:rsidRPr="003549AA" w14:paraId="0E538189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539C5A58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Napięcie wyjściowe / częstotliwość</w:t>
            </w:r>
          </w:p>
        </w:tc>
        <w:tc>
          <w:tcPr>
            <w:tcW w:w="4531" w:type="dxa"/>
            <w:vAlign w:val="center"/>
          </w:tcPr>
          <w:p w14:paraId="3042D0DD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400 V, 50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Hz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 xml:space="preserve"> (3 fazy)</w:t>
            </w:r>
          </w:p>
        </w:tc>
      </w:tr>
      <w:tr w:rsidR="00AC56F2" w:rsidRPr="003549AA" w14:paraId="704C5261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349D10AE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Rodzaj paliwa</w:t>
            </w:r>
          </w:p>
        </w:tc>
        <w:tc>
          <w:tcPr>
            <w:tcW w:w="4531" w:type="dxa"/>
            <w:vAlign w:val="center"/>
          </w:tcPr>
          <w:p w14:paraId="0895A7A0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Olej napędowy (diesel)</w:t>
            </w:r>
          </w:p>
        </w:tc>
      </w:tr>
      <w:tr w:rsidR="00AC56F2" w:rsidRPr="003549AA" w14:paraId="1EAF30B1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3B01485A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Certyfikacja</w:t>
            </w:r>
          </w:p>
        </w:tc>
        <w:tc>
          <w:tcPr>
            <w:tcW w:w="4531" w:type="dxa"/>
            <w:vAlign w:val="center"/>
          </w:tcPr>
          <w:p w14:paraId="5A1625A6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Oznakowanie CE oraz deklaracja zgodności UE dla kompletnego zespołu prądotwórczego i układu SZR, zgodnie z mającymi zastosowanie przepisami; dokumenty właściwe dla zastosowanych wyrobów budowlanych. W przypadku urządzeń objętych przepisami dotyczącymi emisji hałasu do środowiska przez urządzenia używane na zewnątrz wymagane są także oznaczenie gwarantowanego poziomu mocy akustycznej LWA i właściwa dokumentacja zgodności.</w:t>
            </w:r>
          </w:p>
        </w:tc>
      </w:tr>
      <w:tr w:rsidR="00AC56F2" w:rsidRPr="003549AA" w14:paraId="0150AC37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41EBB28B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Gwarancja</w:t>
            </w:r>
          </w:p>
        </w:tc>
        <w:tc>
          <w:tcPr>
            <w:tcW w:w="4531" w:type="dxa"/>
            <w:vAlign w:val="center"/>
          </w:tcPr>
          <w:p w14:paraId="08DC2A55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Minimum 36 miesięcy, zgodnie z ofertą, bez wcześniejszego wygaśnięcia z powodu osiągnięcia określonej liczby motogodzin.</w:t>
            </w:r>
          </w:p>
        </w:tc>
      </w:tr>
    </w:tbl>
    <w:p w14:paraId="0EEB6957" w14:textId="77777777" w:rsidR="00AC56F2" w:rsidRPr="003549AA" w:rsidRDefault="00AC56F2" w:rsidP="00AC56F2">
      <w:pPr>
        <w:rPr>
          <w:rFonts w:ascii="Arial" w:hAnsi="Arial" w:cs="Arial"/>
          <w:color w:val="000000" w:themeColor="text1"/>
        </w:rPr>
      </w:pPr>
    </w:p>
    <w:p w14:paraId="7834DA49" w14:textId="77777777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Wymagania dotyczące obudowy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3549AA" w14:paraId="1B5E6714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1EA72A41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Typ:</w:t>
            </w:r>
          </w:p>
        </w:tc>
        <w:tc>
          <w:tcPr>
            <w:tcW w:w="6373" w:type="dxa"/>
            <w:vAlign w:val="center"/>
          </w:tcPr>
          <w:p w14:paraId="0E0CC7EC" w14:textId="77777777" w:rsidR="00AC56F2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Wyciszona, przystosowana do pracy na zewnątrz (atmosferyczna)</w:t>
            </w:r>
          </w:p>
        </w:tc>
      </w:tr>
      <w:tr w:rsidR="00AC56F2" w:rsidRPr="003549AA" w14:paraId="7DCAA60D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0FA5228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Wykonanie:</w:t>
            </w:r>
          </w:p>
        </w:tc>
        <w:tc>
          <w:tcPr>
            <w:tcW w:w="6373" w:type="dxa"/>
            <w:vAlign w:val="center"/>
          </w:tcPr>
          <w:p w14:paraId="4D2ACB6B" w14:textId="77777777" w:rsidR="00AC56F2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Blacha ocynkowana elektrolitycznie, malowana proszkowo, zapewniająca wysoką odporność antykorozyjną</w:t>
            </w:r>
          </w:p>
        </w:tc>
      </w:tr>
      <w:tr w:rsidR="00AC56F2" w:rsidRPr="003549AA" w14:paraId="7C0359AF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2514D49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Poziom hałasu:</w:t>
            </w:r>
          </w:p>
        </w:tc>
        <w:tc>
          <w:tcPr>
            <w:tcW w:w="6373" w:type="dxa"/>
            <w:vAlign w:val="center"/>
          </w:tcPr>
          <w:p w14:paraId="3FF38E4A" w14:textId="4FA4E3CC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Poziom ciśnienia akustycznego </w:t>
            </w:r>
            <w:proofErr w:type="spellStart"/>
            <w:r w:rsidRPr="000C6668">
              <w:rPr>
                <w:rFonts w:ascii="Arial" w:hAnsi="Arial" w:cs="Arial"/>
                <w:b/>
                <w:bCs/>
                <w:color w:val="A02B93" w:themeColor="accent5"/>
              </w:rPr>
              <w:t>LpA</w:t>
            </w:r>
            <w:proofErr w:type="spellEnd"/>
            <w:r w:rsidRPr="000C6668">
              <w:rPr>
                <w:rFonts w:ascii="Arial" w:hAnsi="Arial" w:cs="Arial"/>
                <w:b/>
                <w:bCs/>
                <w:color w:val="A02B93" w:themeColor="accent5"/>
              </w:rPr>
              <w:t xml:space="preserve"> ≤ </w:t>
            </w:r>
            <w:r w:rsidR="003775D3" w:rsidRPr="000C6668">
              <w:rPr>
                <w:rFonts w:ascii="Arial" w:hAnsi="Arial" w:cs="Arial"/>
                <w:b/>
                <w:bCs/>
                <w:color w:val="A02B93" w:themeColor="accent5"/>
              </w:rPr>
              <w:t>98</w:t>
            </w:r>
            <w:r w:rsidRPr="000C6668">
              <w:rPr>
                <w:rFonts w:ascii="Arial" w:hAnsi="Arial" w:cs="Arial"/>
                <w:b/>
                <w:bCs/>
                <w:color w:val="A02B93" w:themeColor="accent5"/>
              </w:rPr>
              <w:t xml:space="preserve"> </w:t>
            </w:r>
            <w:proofErr w:type="spellStart"/>
            <w:r w:rsidRPr="000C6668">
              <w:rPr>
                <w:rFonts w:ascii="Arial" w:hAnsi="Arial" w:cs="Arial"/>
                <w:b/>
                <w:bCs/>
                <w:color w:val="A02B93" w:themeColor="accent5"/>
              </w:rPr>
              <w:t>dB</w:t>
            </w:r>
            <w:proofErr w:type="spellEnd"/>
            <w:r w:rsidRPr="000C6668">
              <w:rPr>
                <w:rFonts w:ascii="Arial" w:hAnsi="Arial" w:cs="Arial"/>
                <w:b/>
                <w:bCs/>
                <w:color w:val="A02B93" w:themeColor="accent5"/>
              </w:rPr>
              <w:t>(A)</w:t>
            </w:r>
            <w:r w:rsidRPr="000C6668">
              <w:rPr>
                <w:rFonts w:ascii="Arial" w:hAnsi="Arial" w:cs="Arial"/>
                <w:color w:val="A02B93" w:themeColor="accent5"/>
              </w:rPr>
              <w:t xml:space="preserve"> </w:t>
            </w:r>
            <w:r w:rsidRPr="003549AA">
              <w:rPr>
                <w:rFonts w:ascii="Arial" w:hAnsi="Arial" w:cs="Arial"/>
                <w:color w:val="000000" w:themeColor="text1"/>
              </w:rPr>
              <w:t xml:space="preserve">w odległości </w:t>
            </w:r>
          </w:p>
          <w:p w14:paraId="760755D8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7 m, potwierdzony dokumentem producenta lub raportem </w:t>
            </w:r>
          </w:p>
          <w:p w14:paraId="29C4BFEB" w14:textId="7DA675EF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lastRenderedPageBreak/>
              <w:t>z pomiaru wskazującym warunki pomiarowe. Niezależnie należy podać gwarantowany poziom mocy akustycznej LWA oraz wskazać dokument zgodności, jeżeli przepisy wymagają takiego oznaczenia.</w:t>
            </w:r>
          </w:p>
        </w:tc>
      </w:tr>
      <w:tr w:rsidR="00AC56F2" w:rsidRPr="003549AA" w14:paraId="4B31AE1E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27947B12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lastRenderedPageBreak/>
              <w:t>Bezpieczeństwo i dostęp:</w:t>
            </w:r>
          </w:p>
        </w:tc>
        <w:tc>
          <w:tcPr>
            <w:tcW w:w="6373" w:type="dxa"/>
            <w:vAlign w:val="center"/>
          </w:tcPr>
          <w:p w14:paraId="06423BFB" w14:textId="77777777" w:rsidR="00C444C7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Stopień ochrony minimum IP44, wewnętrzna ochrona </w:t>
            </w:r>
          </w:p>
          <w:p w14:paraId="3603C8E0" w14:textId="77777777" w:rsidR="00C444C7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przed kontaktem z gorącymi elementami silnika i układu wydechowego, drzwi serwisowe zamykane na klucz, </w:t>
            </w:r>
          </w:p>
          <w:p w14:paraId="4A3E1829" w14:textId="77777777" w:rsidR="00AC56F2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łatwo dostępny zewnętrzny awaryjny wyłącznik bezpieczeństwa</w:t>
            </w:r>
          </w:p>
        </w:tc>
      </w:tr>
    </w:tbl>
    <w:p w14:paraId="4BF18AD7" w14:textId="77777777" w:rsidR="00AC56F2" w:rsidRPr="003549AA" w:rsidRDefault="00AC56F2" w:rsidP="00AC56F2">
      <w:pPr>
        <w:rPr>
          <w:rFonts w:ascii="Arial" w:hAnsi="Arial" w:cs="Arial"/>
          <w:color w:val="000000" w:themeColor="text1"/>
        </w:rPr>
      </w:pPr>
    </w:p>
    <w:p w14:paraId="0C68410F" w14:textId="77777777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Wymagania dotyczące silnika napędowego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3549AA" w14:paraId="5D804ED7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1694A5F5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Typ:</w:t>
            </w:r>
          </w:p>
        </w:tc>
        <w:tc>
          <w:tcPr>
            <w:tcW w:w="6373" w:type="dxa"/>
            <w:vAlign w:val="center"/>
          </w:tcPr>
          <w:p w14:paraId="3768F79C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Silnik wysokoprężny, chłodzony cieczą, przystosowany </w:t>
            </w:r>
          </w:p>
          <w:p w14:paraId="21990988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do pracy rezerwowej, zapewniający wymagane parametry mocy, rozruchu i trwałości; bez narzucania liczby cylindrów, </w:t>
            </w:r>
          </w:p>
          <w:p w14:paraId="666C22CF" w14:textId="50EFFBBB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 ile rozwiązanie spełnia wszystkie parametry funkcjonalne.</w:t>
            </w:r>
          </w:p>
        </w:tc>
      </w:tr>
      <w:tr w:rsidR="00AC56F2" w:rsidRPr="003549AA" w14:paraId="2C0AB63E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1E5D80AC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Pojemność skokowa:</w:t>
            </w:r>
          </w:p>
        </w:tc>
        <w:tc>
          <w:tcPr>
            <w:tcW w:w="6373" w:type="dxa"/>
            <w:vAlign w:val="center"/>
          </w:tcPr>
          <w:p w14:paraId="73625FFC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Pojemność skokowa dobrana przez producenta do wymaganej mocy i warunków pracy; parametr informacyjny podawany </w:t>
            </w:r>
          </w:p>
          <w:p w14:paraId="113B53CE" w14:textId="070F5CA8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 ofercie, bez minimalnej wartości ograniczającej konkurencję.</w:t>
            </w:r>
          </w:p>
        </w:tc>
      </w:tr>
      <w:tr w:rsidR="00AC56F2" w:rsidRPr="003549AA" w14:paraId="08E081DA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31FE290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Prędkość obrotowa:</w:t>
            </w:r>
          </w:p>
        </w:tc>
        <w:tc>
          <w:tcPr>
            <w:tcW w:w="6373" w:type="dxa"/>
            <w:vAlign w:val="center"/>
          </w:tcPr>
          <w:p w14:paraId="7E79272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1500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obr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>./min. z elektroniczną lub elektryczną regulacją obrotów</w:t>
            </w:r>
          </w:p>
        </w:tc>
      </w:tr>
      <w:tr w:rsidR="00AC56F2" w:rsidRPr="003549AA" w14:paraId="3BCAAF53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27E24AF5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Układy pomocnicze:</w:t>
            </w:r>
          </w:p>
        </w:tc>
        <w:tc>
          <w:tcPr>
            <w:tcW w:w="6373" w:type="dxa"/>
            <w:vAlign w:val="center"/>
          </w:tcPr>
          <w:p w14:paraId="1F0024AB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Układy chłodzenia i smarowania o pojemności oraz wydajności zgodnej z dokumentacją producenta, z czujnikami, alarmami </w:t>
            </w:r>
          </w:p>
          <w:p w14:paraId="6DF3C49D" w14:textId="2009474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i zabezpieczeniami wymaganymi do bezpiecznej pracy przy pełnym obciążeniu.</w:t>
            </w:r>
          </w:p>
        </w:tc>
      </w:tr>
      <w:tr w:rsidR="00AC56F2" w:rsidRPr="003549AA" w14:paraId="2266F2D5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9B4D965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Autonomia pracy:</w:t>
            </w:r>
          </w:p>
        </w:tc>
        <w:tc>
          <w:tcPr>
            <w:tcW w:w="6373" w:type="dxa"/>
            <w:vAlign w:val="center"/>
          </w:tcPr>
          <w:p w14:paraId="7984A28C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Zbiornik paliwa zintegrowany z agregatem albo instalacją, </w:t>
            </w:r>
          </w:p>
          <w:p w14:paraId="064BBB8E" w14:textId="638B7E99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 pojemności wyliczonej z deklarowanego zużycia paliwa tak, aby zapewnić co najmniej 12 godzin ciągłej pracy przy 75% mocy PRP, z rezerwą eksploatacyjną; wymagane zabezpieczenie przed wyciekiem, pomiar poziomu, odpowietrzenie i bezpieczne napełnianie.</w:t>
            </w:r>
          </w:p>
        </w:tc>
      </w:tr>
    </w:tbl>
    <w:p w14:paraId="627E8A5A" w14:textId="77777777" w:rsidR="00AC56F2" w:rsidRPr="003549AA" w:rsidRDefault="00AC56F2" w:rsidP="00AC56F2">
      <w:pPr>
        <w:rPr>
          <w:rFonts w:ascii="Arial" w:hAnsi="Arial" w:cs="Arial"/>
          <w:color w:val="000000" w:themeColor="text1"/>
        </w:rPr>
      </w:pPr>
    </w:p>
    <w:p w14:paraId="2B8E88A5" w14:textId="77777777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Wymagania dotyczące prądnicy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3549AA" w14:paraId="40D8B5F4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161CF5A4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Moc prądnicy (PRP):</w:t>
            </w:r>
          </w:p>
        </w:tc>
        <w:tc>
          <w:tcPr>
            <w:tcW w:w="6373" w:type="dxa"/>
            <w:vAlign w:val="center"/>
          </w:tcPr>
          <w:p w14:paraId="3474F7D7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Minimum 135 kVA / 108 kW w ratingu PRP; prądnica dobrana do obciążeń nieliniowych i prądów rozruchowych obiektu, </w:t>
            </w:r>
          </w:p>
          <w:p w14:paraId="0822F9E0" w14:textId="705CD56F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z podaniem mocy ESP.</w:t>
            </w:r>
          </w:p>
        </w:tc>
      </w:tr>
      <w:tr w:rsidR="00AC56F2" w:rsidRPr="003549AA" w14:paraId="26C8E251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54C93897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Konstrukcja:</w:t>
            </w:r>
          </w:p>
        </w:tc>
        <w:tc>
          <w:tcPr>
            <w:tcW w:w="6373" w:type="dxa"/>
            <w:vAlign w:val="center"/>
          </w:tcPr>
          <w:p w14:paraId="468CE8B9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Synchroniczna, samowzbudna, samoregulująca,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bezszczotkowa</w:t>
            </w:r>
            <w:proofErr w:type="spellEnd"/>
          </w:p>
        </w:tc>
      </w:tr>
      <w:tr w:rsidR="00AC56F2" w:rsidRPr="003549AA" w14:paraId="5E094680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39F007E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Regulacja napięcia:</w:t>
            </w:r>
          </w:p>
        </w:tc>
        <w:tc>
          <w:tcPr>
            <w:tcW w:w="6373" w:type="dxa"/>
            <w:vAlign w:val="center"/>
          </w:tcPr>
          <w:p w14:paraId="05E284B2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Elektroniczny stabilizator napięcia (AVR)</w:t>
            </w:r>
          </w:p>
        </w:tc>
      </w:tr>
      <w:tr w:rsidR="00AC56F2" w:rsidRPr="003549AA" w14:paraId="2782FB67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24E2924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Klasa izolacji:</w:t>
            </w:r>
          </w:p>
        </w:tc>
        <w:tc>
          <w:tcPr>
            <w:tcW w:w="6373" w:type="dxa"/>
            <w:vAlign w:val="center"/>
          </w:tcPr>
          <w:p w14:paraId="2312E90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Klasa H, stopień ochrony min. IP 23</w:t>
            </w:r>
          </w:p>
        </w:tc>
      </w:tr>
      <w:tr w:rsidR="00AC56F2" w:rsidRPr="003549AA" w14:paraId="550CE3A6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66F35EEE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Współczynnik mocy:</w:t>
            </w:r>
          </w:p>
        </w:tc>
        <w:tc>
          <w:tcPr>
            <w:tcW w:w="6373" w:type="dxa"/>
            <w:vAlign w:val="center"/>
          </w:tcPr>
          <w:p w14:paraId="218DB95D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cos φ = 0,8</w:t>
            </w:r>
          </w:p>
        </w:tc>
      </w:tr>
    </w:tbl>
    <w:p w14:paraId="553A3AB9" w14:textId="77777777" w:rsidR="003549AA" w:rsidRDefault="003549AA" w:rsidP="003549AA">
      <w:pPr>
        <w:pStyle w:val="Akapitzlist"/>
        <w:ind w:left="1080"/>
        <w:rPr>
          <w:rFonts w:ascii="Arial" w:hAnsi="Arial" w:cs="Arial"/>
          <w:color w:val="000000" w:themeColor="text1"/>
          <w:u w:val="single"/>
        </w:rPr>
      </w:pPr>
    </w:p>
    <w:p w14:paraId="6A86405A" w14:textId="7D4B8500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Panel sterowania (sterownik) i wyposażenie dodatkowe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9C13B8" w:rsidRPr="003549AA" w14:paraId="1C33B27D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3B5FAFDC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Interfejs:</w:t>
            </w:r>
          </w:p>
        </w:tc>
        <w:tc>
          <w:tcPr>
            <w:tcW w:w="6373" w:type="dxa"/>
            <w:vAlign w:val="center"/>
          </w:tcPr>
          <w:p w14:paraId="60EA6BBA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Wyświetlacz LCD, tryb pracy ręczny oraz w pełni automatyczny</w:t>
            </w:r>
          </w:p>
        </w:tc>
      </w:tr>
      <w:tr w:rsidR="009C13B8" w:rsidRPr="003549AA" w14:paraId="38894437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65318D1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Funkcje kontrolne:</w:t>
            </w:r>
          </w:p>
        </w:tc>
        <w:tc>
          <w:tcPr>
            <w:tcW w:w="6373" w:type="dxa"/>
            <w:vAlign w:val="center"/>
          </w:tcPr>
          <w:p w14:paraId="2DDC7B60" w14:textId="77777777" w:rsid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Monitoring prędkości obrotowej, napięcia, częstotliwości, </w:t>
            </w:r>
          </w:p>
          <w:p w14:paraId="0AEC73A9" w14:textId="77777777" w:rsid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czasu pracy, stanu naładowania akumulatora rozruchowego, sygnalizacja i ochrona przed stanami alarmowymi </w:t>
            </w:r>
          </w:p>
          <w:p w14:paraId="3CEBAE44" w14:textId="7E75DEAC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(niskie ciśnienie oleju, wysoka temperatura, itp.)</w:t>
            </w:r>
          </w:p>
        </w:tc>
      </w:tr>
      <w:tr w:rsidR="009C13B8" w:rsidRPr="003549AA" w14:paraId="25032643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50ABFD6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lastRenderedPageBreak/>
              <w:t>Układ SZR:</w:t>
            </w:r>
          </w:p>
        </w:tc>
        <w:tc>
          <w:tcPr>
            <w:tcW w:w="6373" w:type="dxa"/>
            <w:vAlign w:val="center"/>
          </w:tcPr>
          <w:p w14:paraId="0C984AE5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Dedykowana obudowa metalowa min. IP54; prąd znamionowy, liczba biegunów, sposób przełączania przewodu neutralnego </w:t>
            </w:r>
          </w:p>
          <w:p w14:paraId="018217B5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i zdolność zwarciowa według projektu; blokady mechaniczne </w:t>
            </w:r>
          </w:p>
          <w:p w14:paraId="03747041" w14:textId="497DFDE5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i elektryczne, tryb ręczny i automatyczny, test, obejście serwisowe, rejestr zdarzeń i sygnalizacja położenia.</w:t>
            </w:r>
          </w:p>
        </w:tc>
      </w:tr>
      <w:tr w:rsidR="009C13B8" w:rsidRPr="003549AA" w14:paraId="39EC9FF0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4DF981C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Wyposażenie pomocnicze:</w:t>
            </w:r>
          </w:p>
        </w:tc>
        <w:tc>
          <w:tcPr>
            <w:tcW w:w="6373" w:type="dxa"/>
            <w:vAlign w:val="center"/>
          </w:tcPr>
          <w:p w14:paraId="3E9D770A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0C6668">
              <w:rPr>
                <w:rFonts w:ascii="Arial" w:hAnsi="Arial" w:cs="Arial"/>
                <w:strike/>
                <w:color w:val="A02B93" w:themeColor="accent5"/>
              </w:rPr>
              <w:t xml:space="preserve">Rama </w:t>
            </w:r>
            <w:proofErr w:type="spellStart"/>
            <w:r w:rsidRPr="000C6668">
              <w:rPr>
                <w:rFonts w:ascii="Arial" w:hAnsi="Arial" w:cs="Arial"/>
                <w:strike/>
                <w:color w:val="A02B93" w:themeColor="accent5"/>
              </w:rPr>
              <w:t>bezwyciekowa</w:t>
            </w:r>
            <w:proofErr w:type="spellEnd"/>
            <w:r w:rsidRPr="000C6668">
              <w:rPr>
                <w:rFonts w:ascii="Arial" w:hAnsi="Arial" w:cs="Arial"/>
                <w:strike/>
                <w:color w:val="A02B93" w:themeColor="accent5"/>
              </w:rPr>
              <w:t>/wanna retencyjna o pojemności co najmniej 100% płynów eksploatacyjnych</w:t>
            </w:r>
            <w:r w:rsidRPr="003775D3">
              <w:rPr>
                <w:rFonts w:ascii="Arial" w:hAnsi="Arial" w:cs="Arial"/>
                <w:strike/>
                <w:color w:val="EE0000"/>
              </w:rPr>
              <w:t>,</w:t>
            </w:r>
            <w:r w:rsidRPr="003775D3">
              <w:rPr>
                <w:rFonts w:ascii="Arial" w:hAnsi="Arial" w:cs="Arial"/>
                <w:color w:val="EE0000"/>
              </w:rPr>
              <w:t xml:space="preserve"> </w:t>
            </w:r>
            <w:r w:rsidRPr="003549AA">
              <w:rPr>
                <w:rFonts w:ascii="Arial" w:hAnsi="Arial" w:cs="Arial"/>
                <w:color w:val="000000" w:themeColor="text1"/>
              </w:rPr>
              <w:t>grzałka płynu chłodzącego, automatyczna ładowarka akumulatorów, zewnętrzny wyłącznik awaryjny, zdalny monitoring GSM/Ethernet z przekazaniem Zamawiającemu kont, haseł, konfiguracji i licencji wymaganych w okresie gwarancji.</w:t>
            </w:r>
          </w:p>
        </w:tc>
      </w:tr>
    </w:tbl>
    <w:p w14:paraId="45C083D8" w14:textId="77777777" w:rsidR="009C13B8" w:rsidRPr="003549AA" w:rsidRDefault="009C13B8" w:rsidP="009C13B8">
      <w:pPr>
        <w:rPr>
          <w:rFonts w:ascii="Arial" w:hAnsi="Arial" w:cs="Arial"/>
          <w:color w:val="000000" w:themeColor="text1"/>
        </w:rPr>
      </w:pPr>
    </w:p>
    <w:p w14:paraId="058EBE27" w14:textId="77777777" w:rsidR="009C13B8" w:rsidRPr="003549AA" w:rsidRDefault="009C13B8" w:rsidP="009C13B8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Przedmiar robót i zakres prac instalacyjnych</w:t>
      </w:r>
    </w:p>
    <w:p w14:paraId="502198FC" w14:textId="19CBBF37" w:rsidR="009C13B8" w:rsidRPr="003549AA" w:rsidRDefault="009C13B8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Przedmiar robót przedstawiony poniżej ma charakter wyłącznie pomocniczy, informacyjny 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i poglądowy. Zaleca się przeprowadzenie wizji lokalnej przez Wykonawcę przed złożeniem oferty.</w:t>
      </w:r>
    </w:p>
    <w:p w14:paraId="33F6EBF1" w14:textId="77777777" w:rsidR="009C13B8" w:rsidRPr="003549AA" w:rsidRDefault="009C13B8" w:rsidP="009C13B8">
      <w:pPr>
        <w:rPr>
          <w:rFonts w:ascii="Arial" w:hAnsi="Arial" w:cs="Arial"/>
          <w:color w:val="000000" w:themeColor="text1"/>
        </w:rPr>
      </w:pPr>
    </w:p>
    <w:p w14:paraId="22C641B6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lastRenderedPageBreak/>
        <w:drawing>
          <wp:inline distT="0" distB="0" distL="0" distR="0" wp14:anchorId="6A614A05" wp14:editId="100881A3">
            <wp:extent cx="5762625" cy="8153400"/>
            <wp:effectExtent l="0" t="0" r="9525" b="0"/>
            <wp:docPr id="79577343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3AFB2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16080B92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lastRenderedPageBreak/>
        <w:drawing>
          <wp:inline distT="0" distB="0" distL="0" distR="0" wp14:anchorId="64B121CC" wp14:editId="54B71E0B">
            <wp:extent cx="5762625" cy="8153400"/>
            <wp:effectExtent l="0" t="0" r="9525" b="0"/>
            <wp:docPr id="177781863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09397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0A1AE080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44233D68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lastRenderedPageBreak/>
        <w:drawing>
          <wp:inline distT="0" distB="0" distL="0" distR="0" wp14:anchorId="533B2C6E" wp14:editId="692BE9D9">
            <wp:extent cx="5762625" cy="8153400"/>
            <wp:effectExtent l="0" t="0" r="9525" b="0"/>
            <wp:docPr id="207840840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78D62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31F7B0D5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0647B91E" w14:textId="77777777" w:rsidR="00C043DB" w:rsidRDefault="00C043DB" w:rsidP="00C043D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lastRenderedPageBreak/>
        <w:t>Warunki formalno-prawne i organizacja robót</w:t>
      </w:r>
    </w:p>
    <w:p w14:paraId="433273CD" w14:textId="77777777" w:rsidR="003549AA" w:rsidRPr="003549AA" w:rsidRDefault="003549AA" w:rsidP="003549AA">
      <w:pPr>
        <w:pStyle w:val="Akapitzlist"/>
        <w:rPr>
          <w:rFonts w:ascii="Arial" w:hAnsi="Arial" w:cs="Arial"/>
          <w:b/>
          <w:bCs/>
          <w:color w:val="000000" w:themeColor="text1"/>
        </w:rPr>
      </w:pPr>
    </w:p>
    <w:p w14:paraId="0895704B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 Zgłoszenia i pozwolenia budowlane</w:t>
      </w:r>
    </w:p>
    <w:p w14:paraId="6801B028" w14:textId="0191453C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odpowiada za ustalenie i przeprowadzenie właściwej procedury administracyjnej wymaganej przepisami Prawa budowlanego oraz przepisami odrębnymi,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w tym za sporządzenie dokumentacji, uzyskanie uzgodnień, opinii, zgłoszeń i decyzji niezbędnych do legalnego wykonania i użytkowania przedmiotu zamówienia.</w:t>
      </w:r>
    </w:p>
    <w:p w14:paraId="23CFD03D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Plan BIOZ</w:t>
      </w:r>
    </w:p>
    <w:p w14:paraId="7674889A" w14:textId="54D68F49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Przed rozpoczęciem robót Wykonawca sporządzi i przedstawi Zamawiającemu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plan bezpieczeństwa i ochrony zdrowia, jeżeli obowiązek jego sporządzenia wynika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z Prawa budowlanego, oraz w każdym przypadku instrukcję bezpiecznego wykonania robót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i plan organizacji prac w czynnym obiekcie.</w:t>
      </w:r>
    </w:p>
    <w:p w14:paraId="6FA970FB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Ochrona środowiska</w:t>
      </w:r>
    </w:p>
    <w:p w14:paraId="526042E5" w14:textId="32DFEFAD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Wszelkie odpady budowlane i ziemne należy selektywnie gromadzić, ewidencjonować, transportować i przekazywać uprawnionym odbiorcom zgodnie z ustawą o odpadach; dokumenty potwierdzające zagospodarowanie odpadów Wykonawca przekaże Zamawiającemu na żądanie. Koszty ponosi Wykonawca.</w:t>
      </w:r>
    </w:p>
    <w:p w14:paraId="51F332D1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Uporządkowanie terenu</w:t>
      </w:r>
    </w:p>
    <w:p w14:paraId="79F15DC7" w14:textId="77777777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Po zakończeniu prac, teren zielony i sąsiadujący utwardzoną kostką brukową musi zostać przywrócony przez Wykonawcę do stanu pierwotnego (wyrównanie, uzupełnienie ziemi, obsianie trawą, naprawa ubytków kostki, itp.)</w:t>
      </w:r>
    </w:p>
    <w:p w14:paraId="3BA7A40A" w14:textId="77777777" w:rsidR="00C043DB" w:rsidRPr="003549AA" w:rsidRDefault="00C043DB" w:rsidP="00C043D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Dokumentacja powykonawcza i szkolenie personelu</w:t>
      </w:r>
    </w:p>
    <w:p w14:paraId="294CDA24" w14:textId="77777777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Warunkiem przystąpienia do odbioru końcowego jest dostarczenie kompletnej dokumentacji powykonawczej w trzech (3) egzemplarzach papierowych oraz dwóch (2) egzemplarzach </w:t>
      </w:r>
      <w:r w:rsidR="00777614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w wersji cyfrowej (format PDF oraz formaty edytowalne na nośniku pendrive).</w:t>
      </w:r>
    </w:p>
    <w:p w14:paraId="04596E00" w14:textId="77777777" w:rsidR="00C043DB" w:rsidRPr="003549AA" w:rsidRDefault="00C043DB" w:rsidP="00C043DB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Dokumentacja powykonawcza musi zawierać:</w:t>
      </w:r>
    </w:p>
    <w:p w14:paraId="75DD9E15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Pełną dokumentację projektowo – wykonawczą ze wszystkimi naniesionymi zmianami.</w:t>
      </w:r>
    </w:p>
    <w:p w14:paraId="520692A6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Dokumentację Techniczno-Ruchową (DTR) wybudowanych systemów </w:t>
      </w:r>
      <w:r w:rsidR="00777614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i dostarczonych urządzeń (w języku polskim)</w:t>
      </w:r>
    </w:p>
    <w:p w14:paraId="6134D06E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Protokoły badań i sprawdzeń instalacji, próby funkcjonalne układu SZR </w:t>
      </w:r>
      <w:r w:rsidR="00777614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oraz protokoły robót ulegających zakryciu.</w:t>
      </w:r>
    </w:p>
    <w:p w14:paraId="422CFBE7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Protokoły pomiarów elektrycznych:</w:t>
      </w:r>
    </w:p>
    <w:p w14:paraId="52C8B4FE" w14:textId="77777777" w:rsidR="002C57FD" w:rsidRPr="003549AA" w:rsidRDefault="002C57FD" w:rsidP="007C565C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- badanie skuteczności ochrony przeciwporażeniowej (impedancji pętli zwarcia)</w:t>
      </w:r>
    </w:p>
    <w:p w14:paraId="78D45993" w14:textId="77777777" w:rsidR="002C57FD" w:rsidRPr="003549AA" w:rsidRDefault="002C57FD" w:rsidP="007C565C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- badanie działania wyłączników różnicowoprądowych (RCD)</w:t>
      </w:r>
    </w:p>
    <w:p w14:paraId="057D4C6D" w14:textId="77777777" w:rsidR="002C57FD" w:rsidRPr="003549AA" w:rsidRDefault="002C57FD" w:rsidP="007C565C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- pomiary rezystancji izolacji przewodów i kabli zasilających</w:t>
      </w:r>
    </w:p>
    <w:p w14:paraId="32E993FE" w14:textId="67BF7C92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Deklaracje zgodności UE i dokumenty potwierdzające oznakowanie CE urządzeń, deklaracje właściwości użytkowych lub krajowe deklaracje właściwości użytkowych wyrobów budowlanych – stosownie do mających zastosowanie przepisów –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oraz zatwierdzone karty materiałowe.</w:t>
      </w:r>
    </w:p>
    <w:p w14:paraId="45DF390F" w14:textId="77777777" w:rsidR="002C57FD" w:rsidRPr="003549AA" w:rsidRDefault="002C57FD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przeprowadzi szkolenie personelu wskazanego przez Zamawiającego z zasad bezpiecznej obsługi, testowania oraz codziennej eksploatacji agregatu. Szkolenie zostanie potwierdzone pisemnym protokołem zawierającym: temat, szczegółowy zakres szkolenia, datę, czas trwania oraz listę z podpisami uczestników.</w:t>
      </w:r>
    </w:p>
    <w:p w14:paraId="34B5C33B" w14:textId="77777777" w:rsidR="002C57FD" w:rsidRPr="003549AA" w:rsidRDefault="002C57FD" w:rsidP="002C57FD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lastRenderedPageBreak/>
        <w:t>Ramy czasowe i zasady rozliczeń finansowych</w:t>
      </w:r>
      <w:r w:rsidRPr="003549AA">
        <w:rPr>
          <w:rFonts w:ascii="Arial" w:hAnsi="Arial" w:cs="Arial"/>
          <w:b/>
          <w:bCs/>
          <w:color w:val="000000" w:themeColor="text1"/>
        </w:rPr>
        <w:tab/>
      </w:r>
    </w:p>
    <w:p w14:paraId="3C0F7BD6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Termin wykonania</w:t>
      </w:r>
    </w:p>
    <w:p w14:paraId="390E8C92" w14:textId="27CE2155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zobowiązany jest zrealizować całe zadanie inwestycyjne (od projektu do uruchomienia) w terminie </w:t>
      </w:r>
      <w:r w:rsidR="003775D3" w:rsidRPr="000C6668">
        <w:rPr>
          <w:rFonts w:ascii="Arial" w:hAnsi="Arial" w:cs="Arial"/>
          <w:b/>
          <w:bCs/>
          <w:color w:val="A02B93" w:themeColor="accent5"/>
        </w:rPr>
        <w:t>nie później niż 20.11.2026r.</w:t>
      </w:r>
    </w:p>
    <w:p w14:paraId="7E338FFB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Forma wynagrodzenia</w:t>
      </w:r>
    </w:p>
    <w:p w14:paraId="1B279350" w14:textId="33A36E04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Wynagrodzenie ma charakter ryczałtowy i obejmuje wszystkie przewidywalne koszty prawidłowej realizacji przedmiotu zamówienia. Zmiana wynagrodzenia jest dopuszczalna wyłącznie w przypadkach i na zasadach określonych w ustawie PZP oraz w projektowanych postanowieniach umowy, w tym w razie prawidłowo zleconej zmiany zakresu lub wystąpienia okoliczności objętej jednoznaczną klauzulą zmiany.</w:t>
      </w:r>
    </w:p>
    <w:p w14:paraId="584B12BE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Odbiór i </w:t>
      </w:r>
      <w:r w:rsidR="006F6BA1" w:rsidRPr="003549AA">
        <w:rPr>
          <w:rFonts w:ascii="Arial" w:hAnsi="Arial" w:cs="Arial"/>
          <w:color w:val="000000" w:themeColor="text1"/>
          <w:u w:val="single"/>
        </w:rPr>
        <w:t>zapłata wynagrodzenia</w:t>
      </w:r>
    </w:p>
    <w:p w14:paraId="531AE315" w14:textId="1FC05A89" w:rsidR="00CC48A1" w:rsidRPr="003549AA" w:rsidRDefault="006F6B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Zapłata wynagrodzenia nastąpi jednorazowo na podstawie protokołu odbioru końcowego. Zamawiający może odmówić odbioru wyłącznie w przypadku wad istotnych, uniemożliwiających bezpieczne użytkowanie lub osiągnięcie wymaganej funkcji. Wady nieistotne wpisuje się do protokołu z terminem ich usunięcia i nie wyłączają odbioru ani uprawnień Zamawiającego z gwarancji, rękojmi, kar umownych lub obniżenia wynagrodzenia.</w:t>
      </w:r>
    </w:p>
    <w:p w14:paraId="49867139" w14:textId="77777777" w:rsidR="00CC48A1" w:rsidRPr="003549AA" w:rsidRDefault="00CC48A1" w:rsidP="00CC48A1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Gwarancja i serwis gwarancyjny</w:t>
      </w:r>
    </w:p>
    <w:p w14:paraId="45B27452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Okres gwarancji</w:t>
      </w:r>
    </w:p>
    <w:p w14:paraId="6A2534BE" w14:textId="315DED65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udziela gwarancji na okres wskazany w ofercie, nie krótszy niż 36 miesięcy, liczony od odbioru końcowego. Gwarancja obejmuje wszystkie elementy przedmiotu zamówienia </w:t>
      </w:r>
      <w:r w:rsidRPr="000C6668">
        <w:rPr>
          <w:rFonts w:ascii="Arial" w:hAnsi="Arial" w:cs="Arial"/>
          <w:b/>
          <w:bCs/>
          <w:strike/>
          <w:color w:val="A02B93" w:themeColor="accent5"/>
        </w:rPr>
        <w:t>i nie wygasa wcześniej wskutek osiągnięcia określonej liczby motogodzin.</w:t>
      </w:r>
      <w:r w:rsidRPr="000C6668">
        <w:rPr>
          <w:rFonts w:ascii="Arial" w:hAnsi="Arial" w:cs="Arial"/>
          <w:color w:val="A02B93" w:themeColor="accent5"/>
        </w:rPr>
        <w:t xml:space="preserve"> </w:t>
      </w:r>
      <w:r w:rsidRPr="003549AA">
        <w:rPr>
          <w:rFonts w:ascii="Arial" w:hAnsi="Arial" w:cs="Arial"/>
          <w:color w:val="000000" w:themeColor="text1"/>
        </w:rPr>
        <w:t>Ograniczenia gwarancji producenta nie ograniczają zobowiązań Wykonawcy wobec Zamawiającego.</w:t>
      </w:r>
    </w:p>
    <w:p w14:paraId="30655DC0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Serwis i przeglądy</w:t>
      </w:r>
    </w:p>
    <w:p w14:paraId="3BCA6AD6" w14:textId="7B691B4C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 okresie gwarancji Wykonawca wykonuje bezpłatnie wszystkie przeglądy wymagane przez producenta, wraz z dojazdem, robocizną, materiałami eksploatacyjnymi, filtrami, płynami, częściami zużywanymi w ramach przeglądów i zagospodarowaniem odpadów, bez dodatkowego wezwania Zamawiającego. Każdy przegląd kończy się protokołem i wpisem do dokumentacji serwisowej.</w:t>
      </w:r>
    </w:p>
    <w:p w14:paraId="5F7176A5" w14:textId="77777777" w:rsidR="00042B2A" w:rsidRPr="003549AA" w:rsidRDefault="00042B2A" w:rsidP="00042B2A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Zgłoszenie awarii</w:t>
      </w:r>
    </w:p>
    <w:p w14:paraId="1EE18F28" w14:textId="0A492A20" w:rsidR="00042B2A" w:rsidRPr="003549AA" w:rsidRDefault="00042B2A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potwierdzi przyjęcie zgłoszenia w ciągu 2 godzin. Dla awarii krytycznej, tj. uniemożliwiającej automatyczne zasilanie awaryjne, podejmie zdalną diagnozę niezwłocznie, zapewni przyjazd serwisu w czasie do 24 godzin i w tym samym czasie przywróci funkcję zasilania awaryjnego przez naprawę albo dostarczenie zastępczego źródła zasilania na własny koszt. Pozostałe wady usunie w terminie do 7 dni kalendarzowych, chyba że Zamawiający zaakceptuje inny technicznie uzasadniony termin.</w:t>
      </w:r>
    </w:p>
    <w:p w14:paraId="4E3DA4A2" w14:textId="3D979970" w:rsidR="00825B35" w:rsidRPr="003549AA" w:rsidRDefault="00E55B59" w:rsidP="003549AA">
      <w:pPr>
        <w:pStyle w:val="Akapitzlist"/>
        <w:numPr>
          <w:ilvl w:val="1"/>
          <w:numId w:val="2"/>
        </w:numPr>
        <w:rPr>
          <w:rFonts w:ascii="Arial" w:hAnsi="Arial" w:cs="Arial"/>
          <w:bCs/>
          <w:color w:val="000000" w:themeColor="text1"/>
          <w:u w:val="single"/>
        </w:rPr>
      </w:pPr>
      <w:r w:rsidRPr="003549AA">
        <w:rPr>
          <w:rFonts w:ascii="Arial" w:hAnsi="Arial" w:cs="Arial"/>
          <w:bCs/>
          <w:color w:val="000000" w:themeColor="text1"/>
          <w:u w:val="single"/>
        </w:rPr>
        <w:t>Warunki odbioru technicznego</w:t>
      </w:r>
    </w:p>
    <w:p w14:paraId="2DE1B00C" w14:textId="77777777" w:rsidR="00825B35" w:rsidRPr="003549AA" w:rsidRDefault="00E55B59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Odbiór obejmuje w szczególności: weryfikację dokumentacji i oznakowania, pomiary ochronne, testy zabezpieczeń, test zaniku i powrotu napięcia, test automatyki i blokad SZR, test współpracy z instalacją PV, test zewnętrznego wyłącznika awaryjnego, test zdalnego monitoringu, próbę pracy pod obciążeniem w stopniach 25/50/75/100% oraz próbę ciągłą przy obciążeniu ustalonym w projekcie.</w:t>
      </w:r>
    </w:p>
    <w:p w14:paraId="462B83FE" w14:textId="77777777" w:rsidR="00825B35" w:rsidRPr="003549AA" w:rsidRDefault="00E55B59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dostarczy przed odbiorem: deklarację zgodności UE kompletnego agregatu i SZR, dokumenty wyrobów budowlanych, karty katalogowe, raporty badań lub dokumenty </w:t>
      </w:r>
      <w:r w:rsidRPr="003549AA">
        <w:rPr>
          <w:rFonts w:ascii="Arial" w:hAnsi="Arial" w:cs="Arial"/>
          <w:color w:val="000000" w:themeColor="text1"/>
        </w:rPr>
        <w:lastRenderedPageBreak/>
        <w:t>producenta potwierdzające parametry według serii PN-ISO 8528 i poziom hałasu, protokoły pomiarowe, kopię konfiguracji, hasła i licencje, instrukcje w języku polskim oraz dokument autoryzacji serwisu. Jeżeli mają zastosowanie przepisy dotyczące emisji hałasu do środowiska przez urządzenia używane na zewnątrz, dokumentacja odbiorowa obejmuje także oznaczenie gwarantowanego poziomu mocy akustycznej LWA i dokumentację zgodności w tym zakresie.</w:t>
      </w:r>
    </w:p>
    <w:p w14:paraId="0E7373A1" w14:textId="77777777" w:rsidR="00825B35" w:rsidRDefault="00E55B59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Montaż, pomiary i rozruch wykonują osoby posiadające ważne świadectwa kwalifikacyjne na stanowiskach eksploatacji i dozoru w zakresie odpowiednim do prac, w tym montażu i czynności kontrolno-pomiarowych. Uruchomienie wymagane dla zachowania gwarancji wykonuje producent albo autoryzowany serwis.</w:t>
      </w:r>
    </w:p>
    <w:p w14:paraId="482EFC99" w14:textId="77777777" w:rsidR="003549AA" w:rsidRPr="003549AA" w:rsidRDefault="003549AA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</w:p>
    <w:p w14:paraId="7E279E7B" w14:textId="77777777" w:rsidR="00042B2A" w:rsidRPr="003549AA" w:rsidRDefault="00042B2A" w:rsidP="007C565C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Rękojmia </w:t>
      </w:r>
    </w:p>
    <w:p w14:paraId="50F7E153" w14:textId="77777777" w:rsidR="00042B2A" w:rsidRPr="003549AA" w:rsidRDefault="00042B2A" w:rsidP="007C565C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Niezależnie od gwarancji, Wykonawca ponosi pełną odpowiedzialność za wady fizyczne i prawne przedmiotu zamówienia z tytułu rękojmi na zasadach określonych w Kodeksie cywilnym.</w:t>
      </w:r>
    </w:p>
    <w:p w14:paraId="6857C461" w14:textId="18446094" w:rsidR="003549AA" w:rsidRPr="006C1FEF" w:rsidRDefault="003549AA" w:rsidP="003549AA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b/>
          <w:bCs/>
          <w:color w:val="000000" w:themeColor="text1"/>
        </w:rPr>
      </w:pPr>
      <w:r w:rsidRPr="006C1FEF">
        <w:rPr>
          <w:rFonts w:ascii="Arial" w:hAnsi="Arial" w:cs="Arial"/>
          <w:b/>
          <w:bCs/>
          <w:color w:val="000000" w:themeColor="text1"/>
        </w:rPr>
        <w:t>Uwagi końcowe - część informacyjna PFU – dane i dokumenty Zamawiającego</w:t>
      </w:r>
    </w:p>
    <w:p w14:paraId="4C6F5C6E" w14:textId="2BEC9CBE" w:rsidR="003549AA" w:rsidRDefault="003549AA" w:rsidP="003549AA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 </w:t>
      </w:r>
    </w:p>
    <w:p w14:paraId="0A15B294" w14:textId="0781C9BE" w:rsidR="003549AA" w:rsidRDefault="003549AA" w:rsidP="003549AA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Tytuł prawny do nieruchomości: własność; księga wieczysta KA1S/00102439/0 </w:t>
      </w:r>
    </w:p>
    <w:p w14:paraId="7D709C79" w14:textId="3B1127F0" w:rsidR="003549AA" w:rsidRPr="003549AA" w:rsidRDefault="003549AA" w:rsidP="003549AA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Zamawiający udostępni wybranemu Wykonawcy posiadane schematy rozdzielni, dane przyłączeniowe, dokumentację instalacji PV, mapę do celów informacyjnych oraz informacje o istniejących sieciach. Dokumenty te nie zwalniają Wykonawcy z inwentaryzacji i weryfikacji stanu istniejącego.</w:t>
      </w:r>
    </w:p>
    <w:p w14:paraId="642FBD73" w14:textId="161F9D37" w:rsidR="003549AA" w:rsidRPr="003549AA" w:rsidRDefault="003549AA" w:rsidP="006C1FEF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pozyska na własny koszt mapę do celów projektowych, badania podłoża lub opinię geotechniczną, jeżeli są wymagane przez projektanta, oraz dokona odkrywek i pomiarów niezbędnych do projektu, po uprzednim uzgodnieniu z Zamawiającym.</w:t>
      </w:r>
    </w:p>
    <w:p w14:paraId="1683C969" w14:textId="5D89E5AD" w:rsidR="003549AA" w:rsidRPr="003549AA" w:rsidRDefault="003549AA" w:rsidP="006C1FEF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uzyska wymagane uzgodnienia rzeczoznawcy do spraw zabezpieczeń przeciwpożarowych, operatora systemu dystrybucyjnego, zarządcy sieci i producenta/serwisu instalacji PV – stosownie do przyjętego rozwiązania i obowiązujących przepisów.</w:t>
      </w:r>
    </w:p>
    <w:p w14:paraId="58D27272" w14:textId="6AD25E34" w:rsidR="003549AA" w:rsidRPr="006C1FEF" w:rsidRDefault="003549AA" w:rsidP="006C1FEF">
      <w:pPr>
        <w:pBdr>
          <w:bottom w:val="single" w:sz="4" w:space="1" w:color="auto"/>
        </w:pBdr>
        <w:jc w:val="both"/>
        <w:rPr>
          <w:rFonts w:ascii="Arial" w:hAnsi="Arial" w:cs="Arial"/>
          <w:color w:val="000000" w:themeColor="text1"/>
        </w:rPr>
      </w:pPr>
    </w:p>
    <w:p w14:paraId="269ED3D4" w14:textId="77777777" w:rsidR="00042B2A" w:rsidRPr="003549AA" w:rsidRDefault="00042B2A" w:rsidP="007C565C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Opracował: </w:t>
      </w:r>
      <w:r w:rsidRPr="003549AA">
        <w:rPr>
          <w:rFonts w:ascii="Arial" w:hAnsi="Arial" w:cs="Arial"/>
          <w:color w:val="000000" w:themeColor="text1"/>
        </w:rPr>
        <w:tab/>
        <w:t>Michał Michalewicz, St. Spec. ds. technicznych</w:t>
      </w:r>
    </w:p>
    <w:p w14:paraId="36312796" w14:textId="77777777" w:rsidR="00042B2A" w:rsidRPr="003549AA" w:rsidRDefault="00042B2A" w:rsidP="007C565C">
      <w:pPr>
        <w:jc w:val="both"/>
        <w:rPr>
          <w:rFonts w:ascii="Arial" w:hAnsi="Arial" w:cs="Arial"/>
          <w:i/>
          <w:iCs/>
          <w:color w:val="000000" w:themeColor="text1"/>
        </w:rPr>
      </w:pPr>
      <w:r w:rsidRPr="003549AA">
        <w:rPr>
          <w:rFonts w:ascii="Arial" w:hAnsi="Arial" w:cs="Arial"/>
          <w:i/>
          <w:iCs/>
          <w:color w:val="000000" w:themeColor="text1"/>
        </w:rPr>
        <w:t>Lipiec 2026r.</w:t>
      </w:r>
    </w:p>
    <w:p w14:paraId="16C8687B" w14:textId="77777777" w:rsidR="00CC48A1" w:rsidRPr="003549AA" w:rsidRDefault="00CC48A1" w:rsidP="007C565C">
      <w:pPr>
        <w:jc w:val="both"/>
        <w:rPr>
          <w:rFonts w:ascii="Arial" w:hAnsi="Arial" w:cs="Arial"/>
          <w:color w:val="000000" w:themeColor="text1"/>
        </w:rPr>
      </w:pPr>
    </w:p>
    <w:sectPr w:rsidR="00CC48A1" w:rsidRPr="003549AA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AFD32B" w14:textId="77777777" w:rsidR="00EE1A4D" w:rsidRDefault="00EE1A4D" w:rsidP="000A14F9">
      <w:pPr>
        <w:spacing w:after="0" w:line="240" w:lineRule="auto"/>
      </w:pPr>
      <w:r>
        <w:separator/>
      </w:r>
    </w:p>
  </w:endnote>
  <w:endnote w:type="continuationSeparator" w:id="0">
    <w:p w14:paraId="6892B304" w14:textId="77777777" w:rsidR="00EE1A4D" w:rsidRDefault="00EE1A4D" w:rsidP="000A1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udiowide">
    <w:altName w:val="Calibri"/>
    <w:charset w:val="EE"/>
    <w:family w:val="auto"/>
    <w:pitch w:val="variable"/>
    <w:sig w:usb0="A000006F" w:usb1="40000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2DDA5" w14:textId="22B25CB1" w:rsidR="000A14F9" w:rsidRPr="000A14F9" w:rsidRDefault="000A14F9" w:rsidP="000A14F9">
    <w:pPr>
      <w:pStyle w:val="Stopka"/>
      <w:jc w:val="right"/>
      <w:rPr>
        <w:rFonts w:ascii="Audiowide" w:hAnsi="Audiowide"/>
        <w:sz w:val="12"/>
        <w:szCs w:val="12"/>
      </w:rPr>
    </w:pPr>
    <w:r w:rsidRPr="000A14F9">
      <w:rPr>
        <w:rFonts w:ascii="Audiowide" w:eastAsiaTheme="majorEastAsia" w:hAnsi="Audiowide" w:cstheme="majorBidi"/>
        <w:sz w:val="12"/>
        <w:szCs w:val="12"/>
      </w:rPr>
      <w:t xml:space="preserve">str. </w:t>
    </w:r>
    <w:r w:rsidRPr="000A14F9">
      <w:rPr>
        <w:rFonts w:ascii="Audiowide" w:eastAsiaTheme="minorEastAsia" w:hAnsi="Audiowide"/>
        <w:sz w:val="12"/>
        <w:szCs w:val="12"/>
      </w:rPr>
      <w:fldChar w:fldCharType="begin"/>
    </w:r>
    <w:r w:rsidRPr="000A14F9">
      <w:rPr>
        <w:rFonts w:ascii="Audiowide" w:hAnsi="Audiowide"/>
        <w:sz w:val="12"/>
        <w:szCs w:val="12"/>
      </w:rPr>
      <w:instrText>PAGE    \* MERGEFORMAT</w:instrText>
    </w:r>
    <w:r w:rsidRPr="000A14F9">
      <w:rPr>
        <w:rFonts w:ascii="Audiowide" w:eastAsiaTheme="minorEastAsia" w:hAnsi="Audiowide"/>
        <w:sz w:val="12"/>
        <w:szCs w:val="12"/>
      </w:rPr>
      <w:fldChar w:fldCharType="separate"/>
    </w:r>
    <w:r w:rsidRPr="000A14F9">
      <w:rPr>
        <w:rFonts w:ascii="Audiowide" w:eastAsiaTheme="majorEastAsia" w:hAnsi="Audiowide" w:cstheme="majorBidi"/>
        <w:sz w:val="12"/>
        <w:szCs w:val="12"/>
      </w:rPr>
      <w:t>1</w:t>
    </w:r>
    <w:r w:rsidRPr="000A14F9">
      <w:rPr>
        <w:rFonts w:ascii="Audiowide" w:eastAsiaTheme="majorEastAsia" w:hAnsi="Audiowide" w:cstheme="majorBidi"/>
        <w:sz w:val="12"/>
        <w:szCs w:val="12"/>
      </w:rPr>
      <w:fldChar w:fldCharType="end"/>
    </w:r>
    <w:r w:rsidRPr="000A14F9">
      <w:rPr>
        <w:rFonts w:ascii="Audiowide" w:eastAsiaTheme="majorEastAsia" w:hAnsi="Audiowide" w:cstheme="majorBidi"/>
        <w:sz w:val="12"/>
        <w:szCs w:val="12"/>
      </w:rPr>
      <w:t xml:space="preserve"> z </w:t>
    </w:r>
    <w:r w:rsidR="007A1463">
      <w:rPr>
        <w:rFonts w:ascii="Audiowide" w:eastAsiaTheme="majorEastAsia" w:hAnsi="Audiowide" w:cstheme="majorBidi"/>
        <w:sz w:val="12"/>
        <w:szCs w:val="12"/>
      </w:rPr>
      <w:t>1</w:t>
    </w:r>
    <w:r w:rsidR="003549AA">
      <w:rPr>
        <w:rFonts w:ascii="Audiowide" w:eastAsiaTheme="majorEastAsia" w:hAnsi="Audiowide" w:cstheme="majorBidi"/>
        <w:sz w:val="12"/>
        <w:szCs w:val="12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957EAC" w14:textId="77777777" w:rsidR="00EE1A4D" w:rsidRDefault="00EE1A4D" w:rsidP="000A14F9">
      <w:pPr>
        <w:spacing w:after="0" w:line="240" w:lineRule="auto"/>
      </w:pPr>
      <w:r>
        <w:separator/>
      </w:r>
    </w:p>
  </w:footnote>
  <w:footnote w:type="continuationSeparator" w:id="0">
    <w:p w14:paraId="219E0E7A" w14:textId="77777777" w:rsidR="00EE1A4D" w:rsidRDefault="00EE1A4D" w:rsidP="000A14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91B74"/>
    <w:multiLevelType w:val="hybridMultilevel"/>
    <w:tmpl w:val="17E4DB24"/>
    <w:lvl w:ilvl="0" w:tplc="A44EE28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241BA3"/>
    <w:multiLevelType w:val="hybridMultilevel"/>
    <w:tmpl w:val="69545C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8226E7"/>
    <w:multiLevelType w:val="hybridMultilevel"/>
    <w:tmpl w:val="0DC8F590"/>
    <w:lvl w:ilvl="0" w:tplc="E2741F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542741"/>
    <w:multiLevelType w:val="multilevel"/>
    <w:tmpl w:val="691821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540367263">
    <w:abstractNumId w:val="2"/>
  </w:num>
  <w:num w:numId="2" w16cid:durableId="1639147952">
    <w:abstractNumId w:val="3"/>
  </w:num>
  <w:num w:numId="3" w16cid:durableId="607353182">
    <w:abstractNumId w:val="0"/>
  </w:num>
  <w:num w:numId="4" w16cid:durableId="1904640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70BC"/>
    <w:rsid w:val="00017885"/>
    <w:rsid w:val="00042B2A"/>
    <w:rsid w:val="0004746B"/>
    <w:rsid w:val="00072247"/>
    <w:rsid w:val="000A14F9"/>
    <w:rsid w:val="000C6668"/>
    <w:rsid w:val="00190A0C"/>
    <w:rsid w:val="001C3A85"/>
    <w:rsid w:val="00251FB5"/>
    <w:rsid w:val="002C57FD"/>
    <w:rsid w:val="003263BE"/>
    <w:rsid w:val="003549AA"/>
    <w:rsid w:val="003775D3"/>
    <w:rsid w:val="00447FC9"/>
    <w:rsid w:val="00494354"/>
    <w:rsid w:val="005319D8"/>
    <w:rsid w:val="006049E0"/>
    <w:rsid w:val="006723A8"/>
    <w:rsid w:val="006C1FEF"/>
    <w:rsid w:val="006F6BA1"/>
    <w:rsid w:val="00777614"/>
    <w:rsid w:val="007A1463"/>
    <w:rsid w:val="007C565C"/>
    <w:rsid w:val="00825B35"/>
    <w:rsid w:val="00845054"/>
    <w:rsid w:val="0090325B"/>
    <w:rsid w:val="009C13B8"/>
    <w:rsid w:val="00A34D9E"/>
    <w:rsid w:val="00A43511"/>
    <w:rsid w:val="00AC56F2"/>
    <w:rsid w:val="00B13ED8"/>
    <w:rsid w:val="00B37D00"/>
    <w:rsid w:val="00B570BC"/>
    <w:rsid w:val="00C043DB"/>
    <w:rsid w:val="00C444C7"/>
    <w:rsid w:val="00CC48A1"/>
    <w:rsid w:val="00D22B0F"/>
    <w:rsid w:val="00E04742"/>
    <w:rsid w:val="00E166D6"/>
    <w:rsid w:val="00E55B59"/>
    <w:rsid w:val="00E844A6"/>
    <w:rsid w:val="00EE1A4D"/>
    <w:rsid w:val="00FC4330"/>
    <w:rsid w:val="00FD0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52D84"/>
  <w15:chartTrackingRefBased/>
  <w15:docId w15:val="{E2002087-523C-44E4-97F1-9D343E3FB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570B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570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570B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570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570B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570B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570B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570B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570B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570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570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570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570B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570B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570B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570B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570B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570B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570B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570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570B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570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570B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570B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570B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570B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570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570B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570BC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AC56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0A1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14F9"/>
  </w:style>
  <w:style w:type="paragraph" w:styleId="Stopka">
    <w:name w:val="footer"/>
    <w:basedOn w:val="Normalny"/>
    <w:link w:val="StopkaZnak"/>
    <w:uiPriority w:val="99"/>
    <w:unhideWhenUsed/>
    <w:rsid w:val="000A1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14F9"/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2324</Words>
  <Characters>13950</Characters>
  <Application>Microsoft Office Word</Application>
  <DocSecurity>0</DocSecurity>
  <Lines>116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>Korekta prawna, techniczna i językowa; zmiany oznaczono kolorem niebieskim.</dc:description>
  <cp:lastModifiedBy>Pracownik</cp:lastModifiedBy>
  <cp:revision>5</cp:revision>
  <dcterms:created xsi:type="dcterms:W3CDTF">2026-08-06T08:40:00Z</dcterms:created>
  <dcterms:modified xsi:type="dcterms:W3CDTF">2026-08-21T08:54:00Z</dcterms:modified>
</cp:coreProperties>
</file>